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lang w:eastAsia="zh-CN"/>
        </w:rPr>
        <w:t>烟气脱硫中</w:t>
      </w:r>
      <w:r>
        <w:rPr>
          <w:rFonts w:hint="eastAsia" w:ascii="楷体" w:hAnsi="楷体" w:eastAsia="楷体" w:cs="楷体"/>
        </w:rPr>
        <w:t>固体副产物处理设备对系统可靠性的影响</w:t>
      </w:r>
    </w:p>
    <w:p>
      <w:pPr>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FGD固体副产物(脱硫石膏)处理设备由一级脱水设备、二级脱水设备</w:t>
      </w:r>
      <w:r>
        <w:rPr>
          <w:rFonts w:hint="eastAsia" w:ascii="楷体" w:hAnsi="楷体" w:eastAsia="楷体" w:cs="楷体"/>
          <w:lang w:eastAsia="zh-CN"/>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w:t>
      </w:r>
      <w:r>
        <w:rPr>
          <w:rFonts w:hint="eastAsia" w:ascii="楷体" w:hAnsi="楷体" w:eastAsia="楷体" w:cs="楷体"/>
        </w:rPr>
        <w:t>一级三级脱水设备组成。</w:t>
      </w:r>
    </w:p>
    <w:p>
      <w:pPr>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一级脱水设备可一般选用水力旋流器，虽然一级脱水设备可以中断数小时而不会限制FGD系统运行，但通常这种设备必须24h连续工作。水力旋流器由于投资成本低、占地少、浓缩率高以及可靠性较高而被广泛应用于FGD系统中。这种装置没有运动部件，主要故障是旋流分离器内衬磨损。另外，旋流分离器的浆液分配罐和溢流浆罐以及与其相连的管道可能会出现结垢。</w:t>
      </w:r>
    </w:p>
    <w:p>
      <w:pPr>
        <w:rPr>
          <w:rFonts w:hint="eastAsia" w:ascii="楷体" w:hAnsi="楷体" w:eastAsia="楷体" w:cs="楷体"/>
        </w:rPr>
      </w:pPr>
      <w:r>
        <w:rPr>
          <w:rFonts w:hint="eastAsia" w:ascii="楷体" w:hAnsi="楷体" w:eastAsia="楷体" w:cs="楷体"/>
        </w:rPr>
        <w:t>　　二级脱水设备通常采用</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常发生的缺陷是皮带和布带走偏，由于固体副产物脱水性能恶化或操作不当造成滤饼含水量偏高而堵塞下料斗;当布带有破裂时，将造成滤液含固量增加甚至堵塞滤液接受罐;当石膏脱水性能差或布带刮板调整不好时，布带上会粘附过多的石膏，造成堵塞滤饼冲洗水罐、泵以及先关的管道。</w:t>
      </w:r>
    </w:p>
    <w:p>
      <w:pPr>
        <w:rPr>
          <w:rFonts w:hint="eastAsia" w:ascii="楷体" w:hAnsi="楷体" w:eastAsia="楷体" w:cs="楷体"/>
        </w:rPr>
      </w:pPr>
      <w:r>
        <w:rPr>
          <w:rFonts w:hint="eastAsia" w:ascii="楷体" w:hAnsi="楷体" w:eastAsia="楷体" w:cs="楷体"/>
        </w:rPr>
        <w:t>　　三级脱水设备是对固体副产物进行稳定化和固定化处理的设施，目前的FGD系统还没有这类固体废渣处理设备。少数然用低煤机组的FGD系统，由于脱硫石膏日产量较低或由于所处地理位置不允许作废弃处理，对脱硫后的全部石膏进行脱水处理，直接外销。相当一些FGD系统由于缺乏脱硫石膏市场，仅能回收部分脱硫石膏，部分或大部分石膏排至贮灰场。但必须对填埋坑做防渗处理，如不做防渗处理，势必造成二次污染，这些不规范、不符合环保政策的行为，将被日益严格的环境保护法规所禁止。因此，电厂应用长远目光，积极开拓脱硫石膏再利用市场，尽早考虑符合环境的脱硫废渣处理方法，或留有场地，在适当的时候增建适当的处理设备。</w:t>
      </w:r>
    </w:p>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C0EAF"/>
    <w:rsid w:val="060C0EAF"/>
    <w:rsid w:val="0BB74CCB"/>
    <w:rsid w:val="28DF7F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2017-06-17T01:42:00Z</dcterms:created>
  <dc:creator>Administrator</dc:creator>
  <cp:lastModifiedBy>Administrator</cp:lastModifiedBy>
  <dcterms:modified xsi:type="dcterms:W3CDTF">2017-08-02T02:30:57Z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